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3D5" w:rsidRDefault="00BA6B4B" w:rsidP="003D3573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Wpływ nowych technologii na sektor e-commerce</w:t>
      </w:r>
    </w:p>
    <w:p w:rsidR="00BA6B4B" w:rsidRDefault="00BA6B4B" w:rsidP="003D3573">
      <w:pPr>
        <w:spacing w:before="100" w:beforeAutospacing="1" w:after="100" w:afterAutospacing="1"/>
        <w:contextualSpacing/>
        <w:jc w:val="both"/>
        <w:rPr>
          <w:b/>
          <w:sz w:val="28"/>
          <w:szCs w:val="28"/>
        </w:rPr>
      </w:pPr>
    </w:p>
    <w:p w:rsidR="00BA6B4B" w:rsidRDefault="009C1629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ostatnich latach impulsem dla rozwoju branży e-commerce stała się pandemia oraz ograniczenia w handlu stacjonarnym wywołane kolejnymi lockdownami. Sam sektor nadal dynamicznie rozwija się, jednocześnie zwiększając swoją wartość – jeszcze trzy lata temu wynosiła 100 mld zł. Jak wynika z badania PwC – „Perspektywy rozwoju rynku e-commerce w Polsce”, w 2026 roku wartość </w:t>
      </w:r>
      <w:r w:rsidR="00D275BB">
        <w:rPr>
          <w:bCs/>
          <w:sz w:val="24"/>
          <w:szCs w:val="24"/>
        </w:rPr>
        <w:t xml:space="preserve">rodzimego rynku e-commerce </w:t>
      </w:r>
      <w:r>
        <w:rPr>
          <w:bCs/>
          <w:sz w:val="24"/>
          <w:szCs w:val="24"/>
        </w:rPr>
        <w:t>osiągnie poziom 162 mld zł. Oznacza to średnioroczny wzrost o 12%.</w:t>
      </w:r>
    </w:p>
    <w:p w:rsidR="009C1629" w:rsidRDefault="009C1629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:rsidR="009C1629" w:rsidRDefault="00E81231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Kluczowe trendy, kształtujące obecnie sektor zakupów online to przede wszystkim nowe technologie, optymalizacja dostaw oraz ekologia. </w:t>
      </w:r>
      <w:r w:rsidR="00720DAF">
        <w:rPr>
          <w:bCs/>
          <w:sz w:val="24"/>
          <w:szCs w:val="24"/>
        </w:rPr>
        <w:t xml:space="preserve">Technologią, która przebojem wdarła się w ubiegłym roku do świata zakupów, są odroczone płatności. Upowszechniły się one w całej branży, rozszerzając obszar swojego oddziaływania również na sklepy stacjonarne. </w:t>
      </w:r>
      <w:r w:rsidR="00720DAF" w:rsidRPr="00720DAF">
        <w:rPr>
          <w:bCs/>
          <w:sz w:val="24"/>
          <w:szCs w:val="24"/>
        </w:rPr>
        <w:t>Można spodziewać się, że ta metoda płatności jeszcze dojrzeje. BNPL</w:t>
      </w:r>
      <w:r w:rsidR="00720DAF">
        <w:rPr>
          <w:bCs/>
          <w:sz w:val="24"/>
          <w:szCs w:val="24"/>
        </w:rPr>
        <w:t>, czyli z angielskiego – „</w:t>
      </w:r>
      <w:r w:rsidR="00720DAF" w:rsidRPr="00720DAF">
        <w:rPr>
          <w:bCs/>
          <w:sz w:val="24"/>
          <w:szCs w:val="24"/>
        </w:rPr>
        <w:t>buy now, pay later</w:t>
      </w:r>
      <w:r w:rsidR="00720DAF">
        <w:rPr>
          <w:bCs/>
          <w:sz w:val="24"/>
          <w:szCs w:val="24"/>
        </w:rPr>
        <w:t xml:space="preserve">”, </w:t>
      </w:r>
      <w:r w:rsidR="00720DAF" w:rsidRPr="00720DAF">
        <w:rPr>
          <w:bCs/>
          <w:sz w:val="24"/>
          <w:szCs w:val="24"/>
        </w:rPr>
        <w:t xml:space="preserve">mają szansę stać się integralnym elementem codzienności konsumentów. </w:t>
      </w:r>
      <w:r w:rsidR="00720DAF">
        <w:rPr>
          <w:bCs/>
          <w:sz w:val="24"/>
          <w:szCs w:val="24"/>
        </w:rPr>
        <w:t xml:space="preserve">Na pewno </w:t>
      </w:r>
      <w:r w:rsidR="00D275BB">
        <w:rPr>
          <w:bCs/>
          <w:sz w:val="24"/>
          <w:szCs w:val="24"/>
        </w:rPr>
        <w:t xml:space="preserve">ich rozwojowi </w:t>
      </w:r>
      <w:r w:rsidR="00720DAF">
        <w:rPr>
          <w:bCs/>
          <w:sz w:val="24"/>
          <w:szCs w:val="24"/>
        </w:rPr>
        <w:t>s</w:t>
      </w:r>
      <w:r w:rsidR="00720DAF" w:rsidRPr="00720DAF">
        <w:rPr>
          <w:bCs/>
          <w:sz w:val="24"/>
          <w:szCs w:val="24"/>
        </w:rPr>
        <w:t xml:space="preserve">przyja wymagająca sytuacja gospodarcza. Ich </w:t>
      </w:r>
      <w:r w:rsidR="00720DAF">
        <w:rPr>
          <w:bCs/>
          <w:sz w:val="24"/>
          <w:szCs w:val="24"/>
        </w:rPr>
        <w:t>niewątpliwą</w:t>
      </w:r>
      <w:r w:rsidR="00720DAF" w:rsidRPr="00720DAF">
        <w:rPr>
          <w:bCs/>
          <w:sz w:val="24"/>
          <w:szCs w:val="24"/>
        </w:rPr>
        <w:t xml:space="preserve"> zaletą jest </w:t>
      </w:r>
      <w:r w:rsidR="00D275BB">
        <w:rPr>
          <w:bCs/>
          <w:sz w:val="24"/>
          <w:szCs w:val="24"/>
        </w:rPr>
        <w:t xml:space="preserve">natomiast </w:t>
      </w:r>
      <w:r w:rsidR="00720DAF" w:rsidRPr="00720DAF">
        <w:rPr>
          <w:bCs/>
          <w:sz w:val="24"/>
          <w:szCs w:val="24"/>
        </w:rPr>
        <w:t>możliwość zapłacenia za dokonane zakupy natychmiast, kiedy będziemy dysponować środkami pieniężnymi</w:t>
      </w:r>
      <w:r w:rsidR="00720DAF">
        <w:rPr>
          <w:bCs/>
          <w:sz w:val="24"/>
          <w:szCs w:val="24"/>
        </w:rPr>
        <w:t xml:space="preserve"> na swoim koncie. </w:t>
      </w:r>
    </w:p>
    <w:p w:rsidR="00720DAF" w:rsidRDefault="00720DAF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:rsidR="00720DAF" w:rsidRDefault="00720DAF" w:rsidP="003D3573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720DAF">
        <w:rPr>
          <w:b/>
          <w:sz w:val="24"/>
          <w:szCs w:val="24"/>
        </w:rPr>
        <w:t>Ekologiczna świadomość</w:t>
      </w:r>
    </w:p>
    <w:p w:rsidR="00720DAF" w:rsidRDefault="00A35A33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A35A33">
        <w:rPr>
          <w:bCs/>
          <w:sz w:val="24"/>
          <w:szCs w:val="24"/>
        </w:rPr>
        <w:t>Zaawansowane, ekologiczn</w:t>
      </w:r>
      <w:r w:rsidR="00D275BB">
        <w:rPr>
          <w:bCs/>
          <w:sz w:val="24"/>
          <w:szCs w:val="24"/>
        </w:rPr>
        <w:t>e</w:t>
      </w:r>
      <w:r w:rsidRPr="00A35A33">
        <w:rPr>
          <w:bCs/>
          <w:sz w:val="24"/>
          <w:szCs w:val="24"/>
        </w:rPr>
        <w:t xml:space="preserve"> opakowania wielorazowe są już dostępne na rynku. Wydają się zatem naturalnym następną opakowań plastikowych, których zastosowanie powinno być maksymalnie ograniczone. Świadomość ekologiczna rośnie, a skuteczna implementacja prośrodowiskowych i proklimatycznych rozwiązań będzie zbawienna dla całej branży. Równocześnie zastosowanie bardziej wysublimowanych </w:t>
      </w:r>
      <w:r w:rsidR="00D275BB">
        <w:rPr>
          <w:bCs/>
          <w:sz w:val="24"/>
          <w:szCs w:val="24"/>
        </w:rPr>
        <w:t>narzędzi</w:t>
      </w:r>
      <w:r w:rsidRPr="00A35A33">
        <w:rPr>
          <w:bCs/>
          <w:sz w:val="24"/>
          <w:szCs w:val="24"/>
        </w:rPr>
        <w:t xml:space="preserve"> technologicznych w kwestii opakowań powinno</w:t>
      </w:r>
      <w:r w:rsidR="00D275BB">
        <w:rPr>
          <w:bCs/>
          <w:sz w:val="24"/>
          <w:szCs w:val="24"/>
        </w:rPr>
        <w:t xml:space="preserve"> pomóc</w:t>
      </w:r>
      <w:r w:rsidRPr="00A35A33">
        <w:rPr>
          <w:bCs/>
          <w:sz w:val="24"/>
          <w:szCs w:val="24"/>
        </w:rPr>
        <w:t xml:space="preserve"> sprostać innym wyzwaniom. Zaliczyć do nich można efektywne wykorzystanie miejsca w samochodach dostawczych. Kolejną kwestią jest konieczność dopasowania rozmiaru opakowania do towaru, ale także do wielkości skrytek w automatach paczkowych. Masowe zastosowanie wielorazowych opakowań </w:t>
      </w:r>
      <w:r w:rsidRPr="00A35A33">
        <w:rPr>
          <w:bCs/>
          <w:sz w:val="24"/>
          <w:szCs w:val="24"/>
        </w:rPr>
        <w:lastRenderedPageBreak/>
        <w:t>pozwoli zredukować górę śmieci, będącą efektem działalności e-commerce. Równie istotna jest redukcja śladu węglowego oraz usprawnienie newralgicznej, ostatniej mili kurierskiej.</w:t>
      </w:r>
    </w:p>
    <w:p w:rsidR="00A35A33" w:rsidRDefault="00A35A33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:rsidR="00A35A33" w:rsidRPr="00720DAF" w:rsidRDefault="00A35A33" w:rsidP="003D357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Automaty do odbioru przesyłek kurierskich to już nie tylko bezpieczny czy wygodny, ale przede wszystkim ekologiczny sposób odbioru zakupów online. Bezdotykowe urządzenia, intuicyjne w konfiguracji, które nie wymagają podłączenia do prądu i są obsługiwane za pomocą dedykowanej aplikacji, stanowią przyszłość całego rynku, wpisując się jednocześnie w zielone trendy.</w:t>
      </w:r>
    </w:p>
    <w:p w:rsidR="00A35A33" w:rsidRDefault="00A35A33" w:rsidP="00A35A33">
      <w:pPr>
        <w:spacing w:before="100" w:beforeAutospacing="1" w:after="100" w:afterAutospacing="1"/>
        <w:contextualSpacing/>
        <w:rPr>
          <w:sz w:val="24"/>
          <w:szCs w:val="28"/>
        </w:rPr>
      </w:pPr>
    </w:p>
    <w:p w:rsidR="003D0084" w:rsidRDefault="00D8547E" w:rsidP="00A35A33">
      <w:pPr>
        <w:spacing w:before="100" w:beforeAutospacing="1" w:after="100" w:afterAutospacing="1"/>
        <w:contextualSpacing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Łukasz Łukasiewicz</w:t>
      </w:r>
    </w:p>
    <w:p w:rsidR="00D8547E" w:rsidRDefault="00D8547E" w:rsidP="003D3573">
      <w:pPr>
        <w:spacing w:before="100" w:beforeAutospacing="1" w:after="100" w:afterAutospacing="1"/>
        <w:contextualSpacing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Operations Manager</w:t>
      </w:r>
    </w:p>
    <w:p w:rsidR="002000D9" w:rsidRPr="002000D9" w:rsidRDefault="002000D9" w:rsidP="003D3573">
      <w:pPr>
        <w:spacing w:before="100" w:beforeAutospacing="1" w:after="100" w:afterAutospacing="1"/>
        <w:contextualSpacing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SwipBox Polska</w:t>
      </w:r>
    </w:p>
    <w:p w:rsidR="001D1670" w:rsidRDefault="001D1670" w:rsidP="003D357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sectPr w:rsidR="001D1670" w:rsidSect="00BD5050">
      <w:headerReference w:type="default" r:id="rId8"/>
      <w:footerReference w:type="default" r:id="rId9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10D" w:rsidRDefault="0081610D" w:rsidP="00A61807">
      <w:pPr>
        <w:spacing w:after="0" w:line="240" w:lineRule="auto"/>
      </w:pPr>
      <w:r>
        <w:separator/>
      </w:r>
    </w:p>
  </w:endnote>
  <w:endnote w:type="continuationSeparator" w:id="0">
    <w:p w:rsidR="0081610D" w:rsidRDefault="0081610D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5050" w:rsidRDefault="00BA6B4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SwipBox Polska Sp. z.o.o. Felińskiego 44/1, 01-563 Warszawa</w:t>
                          </w:r>
                        </w:p>
                        <w:p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SwipBox Polska Sp. z.o.o. Felińskiego 44/1, 01-563 Warszawa</w:t>
                    </w:r>
                  </w:p>
                  <w:p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10D" w:rsidRDefault="0081610D" w:rsidP="00A61807">
      <w:pPr>
        <w:spacing w:after="0" w:line="240" w:lineRule="auto"/>
      </w:pPr>
      <w:r>
        <w:separator/>
      </w:r>
    </w:p>
  </w:footnote>
  <w:footnote w:type="continuationSeparator" w:id="0">
    <w:p w:rsidR="0081610D" w:rsidRDefault="0081610D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1807" w:rsidRDefault="00BA6B4B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73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CF"/>
    <w:rsid w:val="0000539D"/>
    <w:rsid w:val="00052D2E"/>
    <w:rsid w:val="00060D21"/>
    <w:rsid w:val="00070EAF"/>
    <w:rsid w:val="00072522"/>
    <w:rsid w:val="0007360F"/>
    <w:rsid w:val="0009688D"/>
    <w:rsid w:val="000A30FE"/>
    <w:rsid w:val="000E5511"/>
    <w:rsid w:val="000F12F9"/>
    <w:rsid w:val="001304C5"/>
    <w:rsid w:val="001648CB"/>
    <w:rsid w:val="00181B29"/>
    <w:rsid w:val="001B4238"/>
    <w:rsid w:val="001C15DF"/>
    <w:rsid w:val="001D1670"/>
    <w:rsid w:val="001D2EFB"/>
    <w:rsid w:val="001D420E"/>
    <w:rsid w:val="001D78A5"/>
    <w:rsid w:val="001E23E6"/>
    <w:rsid w:val="001E53D5"/>
    <w:rsid w:val="001F77E3"/>
    <w:rsid w:val="002000D9"/>
    <w:rsid w:val="002578EF"/>
    <w:rsid w:val="00281897"/>
    <w:rsid w:val="00291726"/>
    <w:rsid w:val="002A5898"/>
    <w:rsid w:val="002C378A"/>
    <w:rsid w:val="002D0036"/>
    <w:rsid w:val="002E6E5D"/>
    <w:rsid w:val="00317827"/>
    <w:rsid w:val="003371BB"/>
    <w:rsid w:val="0035046E"/>
    <w:rsid w:val="00381D7D"/>
    <w:rsid w:val="003C1373"/>
    <w:rsid w:val="003C417F"/>
    <w:rsid w:val="003D0084"/>
    <w:rsid w:val="003D3573"/>
    <w:rsid w:val="003D4298"/>
    <w:rsid w:val="003F3983"/>
    <w:rsid w:val="003F5006"/>
    <w:rsid w:val="004025F8"/>
    <w:rsid w:val="004738D6"/>
    <w:rsid w:val="004A33B2"/>
    <w:rsid w:val="004A576F"/>
    <w:rsid w:val="004B6787"/>
    <w:rsid w:val="004B698F"/>
    <w:rsid w:val="004C6D1F"/>
    <w:rsid w:val="005251B8"/>
    <w:rsid w:val="00530989"/>
    <w:rsid w:val="005352DE"/>
    <w:rsid w:val="005662EB"/>
    <w:rsid w:val="005B2DE5"/>
    <w:rsid w:val="005E62F4"/>
    <w:rsid w:val="005F13B9"/>
    <w:rsid w:val="00601D31"/>
    <w:rsid w:val="00620319"/>
    <w:rsid w:val="0064236E"/>
    <w:rsid w:val="006A0392"/>
    <w:rsid w:val="006A3B68"/>
    <w:rsid w:val="006C1A64"/>
    <w:rsid w:val="006F10B3"/>
    <w:rsid w:val="006F76A8"/>
    <w:rsid w:val="00720DAF"/>
    <w:rsid w:val="007330F8"/>
    <w:rsid w:val="007613AC"/>
    <w:rsid w:val="0076631B"/>
    <w:rsid w:val="00770F43"/>
    <w:rsid w:val="00787406"/>
    <w:rsid w:val="007A0998"/>
    <w:rsid w:val="007A3A8A"/>
    <w:rsid w:val="007C24B4"/>
    <w:rsid w:val="008150D6"/>
    <w:rsid w:val="0081610D"/>
    <w:rsid w:val="00833122"/>
    <w:rsid w:val="008729F2"/>
    <w:rsid w:val="00876BE2"/>
    <w:rsid w:val="008B0A67"/>
    <w:rsid w:val="008B687E"/>
    <w:rsid w:val="008C3342"/>
    <w:rsid w:val="008C6623"/>
    <w:rsid w:val="008D4D65"/>
    <w:rsid w:val="008E55D8"/>
    <w:rsid w:val="00901053"/>
    <w:rsid w:val="00901E7B"/>
    <w:rsid w:val="00907E41"/>
    <w:rsid w:val="00914D42"/>
    <w:rsid w:val="00931E2A"/>
    <w:rsid w:val="00937B25"/>
    <w:rsid w:val="00991C04"/>
    <w:rsid w:val="009A7F4D"/>
    <w:rsid w:val="009C1629"/>
    <w:rsid w:val="009E1ECB"/>
    <w:rsid w:val="009E31CF"/>
    <w:rsid w:val="009E5FD6"/>
    <w:rsid w:val="009F1C42"/>
    <w:rsid w:val="00A2725B"/>
    <w:rsid w:val="00A3335A"/>
    <w:rsid w:val="00A35A33"/>
    <w:rsid w:val="00A4566A"/>
    <w:rsid w:val="00A45BE6"/>
    <w:rsid w:val="00A61192"/>
    <w:rsid w:val="00A61807"/>
    <w:rsid w:val="00A65B07"/>
    <w:rsid w:val="00A85F37"/>
    <w:rsid w:val="00AB332D"/>
    <w:rsid w:val="00AD3ADB"/>
    <w:rsid w:val="00AD5182"/>
    <w:rsid w:val="00AF44C9"/>
    <w:rsid w:val="00B02F1B"/>
    <w:rsid w:val="00B050CF"/>
    <w:rsid w:val="00B11E06"/>
    <w:rsid w:val="00B2434C"/>
    <w:rsid w:val="00B6787D"/>
    <w:rsid w:val="00B91EDB"/>
    <w:rsid w:val="00BA1C58"/>
    <w:rsid w:val="00BA2578"/>
    <w:rsid w:val="00BA2A7C"/>
    <w:rsid w:val="00BA631F"/>
    <w:rsid w:val="00BA6B4B"/>
    <w:rsid w:val="00BC49AE"/>
    <w:rsid w:val="00BD2BD5"/>
    <w:rsid w:val="00BD5050"/>
    <w:rsid w:val="00C21F1B"/>
    <w:rsid w:val="00C414E8"/>
    <w:rsid w:val="00C51FE8"/>
    <w:rsid w:val="00C654DA"/>
    <w:rsid w:val="00C84AB0"/>
    <w:rsid w:val="00CD4EC1"/>
    <w:rsid w:val="00D2004E"/>
    <w:rsid w:val="00D275BB"/>
    <w:rsid w:val="00D304DE"/>
    <w:rsid w:val="00D503CF"/>
    <w:rsid w:val="00D8547E"/>
    <w:rsid w:val="00D92982"/>
    <w:rsid w:val="00DB3FC3"/>
    <w:rsid w:val="00DC5603"/>
    <w:rsid w:val="00DD03C7"/>
    <w:rsid w:val="00DF04B7"/>
    <w:rsid w:val="00DF092F"/>
    <w:rsid w:val="00E12A9A"/>
    <w:rsid w:val="00E20C48"/>
    <w:rsid w:val="00E341A2"/>
    <w:rsid w:val="00E53D2E"/>
    <w:rsid w:val="00E62E03"/>
    <w:rsid w:val="00E81231"/>
    <w:rsid w:val="00EA397D"/>
    <w:rsid w:val="00EC74A8"/>
    <w:rsid w:val="00EE6728"/>
    <w:rsid w:val="00EF4EC6"/>
    <w:rsid w:val="00F068DE"/>
    <w:rsid w:val="00F127E2"/>
    <w:rsid w:val="00F21FBF"/>
    <w:rsid w:val="00F36787"/>
    <w:rsid w:val="00F571E9"/>
    <w:rsid w:val="00F63366"/>
    <w:rsid w:val="00F65653"/>
    <w:rsid w:val="00F65809"/>
    <w:rsid w:val="00F74035"/>
    <w:rsid w:val="00F76528"/>
    <w:rsid w:val="00FC4392"/>
    <w:rsid w:val="00FE22D9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E1825"/>
  <w15:chartTrackingRefBased/>
  <w15:docId w15:val="{57B82972-3AAE-4012-A450-AF491DC4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456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02AD-4728-4B5E-9499-B92D316B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cp:lastModifiedBy>Bart Sosnek</cp:lastModifiedBy>
  <cp:revision>6</cp:revision>
  <cp:lastPrinted>2019-03-14T12:22:00Z</cp:lastPrinted>
  <dcterms:created xsi:type="dcterms:W3CDTF">2023-03-27T13:02:00Z</dcterms:created>
  <dcterms:modified xsi:type="dcterms:W3CDTF">2023-03-27T13:32:00Z</dcterms:modified>
</cp:coreProperties>
</file>